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97BB7" w:rsidRDefault="00297BB7">
      <w:pPr>
        <w:pStyle w:val="Textoindependiente"/>
        <w:rPr>
          <w:color w:val="000000"/>
        </w:rPr>
      </w:pPr>
    </w:p>
    <w:p w:rsidR="00DB4EA6" w:rsidRDefault="00297BB7">
      <w:pPr>
        <w:pStyle w:val="Textoindependiente"/>
        <w:rPr>
          <w:rFonts w:hint="eastAsia"/>
          <w:color w:val="000000"/>
        </w:rPr>
      </w:pPr>
      <w:r>
        <w:rPr>
          <w:color w:val="000000"/>
        </w:rPr>
        <w:t>Se in</w:t>
      </w:r>
      <w:r w:rsidR="00000000">
        <w:rPr>
          <w:color w:val="000000"/>
        </w:rPr>
        <w:t>cluye la verificación de conformidad, evaluación de las propuestas, identificación de diferencias clave y fundamentación para una posible descalificación.</w:t>
      </w:r>
    </w:p>
    <w:p w:rsidR="00DB4EA6" w:rsidRDefault="00000000">
      <w:pPr>
        <w:pStyle w:val="Ttulo3"/>
        <w:spacing w:before="0" w:after="140" w:line="276" w:lineRule="auto"/>
        <w:rPr>
          <w:rFonts w:hint="eastAsia"/>
          <w:color w:val="000000"/>
        </w:rPr>
      </w:pPr>
      <w:r>
        <w:rPr>
          <w:color w:val="000000"/>
        </w:rPr>
        <w:t>Análisis Comparativo: Especificaciones de Licitación vs. Oferta de Bus Padrón GNV</w:t>
      </w:r>
    </w:p>
    <w:p w:rsidR="00DB4EA6" w:rsidRDefault="00000000">
      <w:pPr>
        <w:pStyle w:val="Textoindependiente"/>
        <w:rPr>
          <w:rFonts w:hint="eastAsia"/>
        </w:rPr>
      </w:pPr>
      <w:r>
        <w:rPr>
          <w:rStyle w:val="Textoennegrita"/>
          <w:color w:val="000000"/>
        </w:rPr>
        <w:t>1. Verificación de Conformidad: Comparación Directa</w:t>
      </w:r>
    </w:p>
    <w:p w:rsidR="00DB4EA6" w:rsidRDefault="00000000">
      <w:pPr>
        <w:pStyle w:val="Textoindependiente"/>
        <w:rPr>
          <w:rFonts w:hint="eastAsia"/>
          <w:color w:val="000000"/>
        </w:rPr>
      </w:pPr>
      <w:r>
        <w:rPr>
          <w:color w:val="000000"/>
        </w:rPr>
        <w:t>Para realizar esta verificación, hemos analizado los puntos clave de las especificaciones técnicas del Anexo 3 para autobuses tipo Padrón y los hemos contrastado con la información proporcionada en la ficha técnica del FT PADRON GNV DD6129B50NE-250902.</w:t>
      </w:r>
    </w:p>
    <w:tbl>
      <w:tblPr>
        <w:tblW w:w="9938" w:type="dxa"/>
        <w:tblInd w:w="41" w:type="dxa"/>
        <w:tblLayout w:type="fixed"/>
        <w:tblCellMar>
          <w:top w:w="120" w:type="dxa"/>
          <w:left w:w="120" w:type="dxa"/>
          <w:bottom w:w="120" w:type="dxa"/>
          <w:right w:w="120" w:type="dxa"/>
        </w:tblCellMar>
        <w:tblLook w:val="0000" w:firstRow="0" w:lastRow="0" w:firstColumn="0" w:lastColumn="0" w:noHBand="0" w:noVBand="0"/>
      </w:tblPr>
      <w:tblGrid>
        <w:gridCol w:w="2664"/>
        <w:gridCol w:w="2211"/>
        <w:gridCol w:w="1626"/>
        <w:gridCol w:w="3437"/>
      </w:tblGrid>
      <w:tr w:rsidR="00DB4EA6" w:rsidTr="00297BB7">
        <w:trPr>
          <w:tblHeader/>
        </w:trPr>
        <w:tc>
          <w:tcPr>
            <w:tcW w:w="2664" w:type="dxa"/>
            <w:tcBorders>
              <w:top w:val="single" w:sz="2" w:space="0" w:color="DDDDDD"/>
              <w:left w:val="single" w:sz="2" w:space="0" w:color="DDDDDD"/>
              <w:bottom w:val="single" w:sz="2" w:space="0" w:color="DDDDDD"/>
              <w:right w:val="single" w:sz="2" w:space="0" w:color="DDDDDD"/>
            </w:tcBorders>
            <w:shd w:val="clear" w:color="auto" w:fill="F2F2F2"/>
            <w:vAlign w:val="center"/>
          </w:tcPr>
          <w:p w:rsidR="00DB4EA6" w:rsidRDefault="00000000">
            <w:pPr>
              <w:pStyle w:val="TableHeading"/>
              <w:jc w:val="left"/>
              <w:rPr>
                <w:rFonts w:hint="eastAsia"/>
                <w:color w:val="000000"/>
              </w:rPr>
            </w:pPr>
            <w:r>
              <w:rPr>
                <w:color w:val="000000"/>
              </w:rPr>
              <w:t>Especificación (Anexo 3)</w:t>
            </w:r>
          </w:p>
        </w:tc>
        <w:tc>
          <w:tcPr>
            <w:tcW w:w="2211" w:type="dxa"/>
            <w:tcBorders>
              <w:top w:val="single" w:sz="2" w:space="0" w:color="DDDDDD"/>
              <w:left w:val="single" w:sz="2" w:space="0" w:color="DDDDDD"/>
              <w:bottom w:val="single" w:sz="2" w:space="0" w:color="DDDDDD"/>
              <w:right w:val="single" w:sz="2" w:space="0" w:color="DDDDDD"/>
            </w:tcBorders>
            <w:shd w:val="clear" w:color="auto" w:fill="F2F2F2"/>
            <w:vAlign w:val="center"/>
          </w:tcPr>
          <w:p w:rsidR="00DB4EA6" w:rsidRDefault="00000000">
            <w:pPr>
              <w:pStyle w:val="TableHeading"/>
              <w:jc w:val="left"/>
              <w:rPr>
                <w:rFonts w:hint="eastAsia"/>
                <w:color w:val="000000"/>
              </w:rPr>
            </w:pPr>
            <w:r>
              <w:rPr>
                <w:color w:val="000000"/>
              </w:rPr>
              <w:t>Oferta (FT PADRON GNV)</w:t>
            </w:r>
          </w:p>
        </w:tc>
        <w:tc>
          <w:tcPr>
            <w:tcW w:w="1626" w:type="dxa"/>
            <w:tcBorders>
              <w:top w:val="single" w:sz="2" w:space="0" w:color="DDDDDD"/>
              <w:left w:val="single" w:sz="2" w:space="0" w:color="DDDDDD"/>
              <w:bottom w:val="single" w:sz="2" w:space="0" w:color="DDDDDD"/>
              <w:right w:val="single" w:sz="2" w:space="0" w:color="DDDDDD"/>
            </w:tcBorders>
            <w:shd w:val="clear" w:color="auto" w:fill="F2F2F2"/>
            <w:vAlign w:val="center"/>
          </w:tcPr>
          <w:p w:rsidR="00DB4EA6" w:rsidRDefault="00000000">
            <w:pPr>
              <w:pStyle w:val="TableHeading"/>
              <w:jc w:val="left"/>
              <w:rPr>
                <w:rFonts w:hint="eastAsia"/>
                <w:color w:val="000000"/>
              </w:rPr>
            </w:pPr>
            <w:r>
              <w:rPr>
                <w:color w:val="000000"/>
              </w:rPr>
              <w:t>Conformidad</w:t>
            </w:r>
          </w:p>
        </w:tc>
        <w:tc>
          <w:tcPr>
            <w:tcW w:w="3437" w:type="dxa"/>
            <w:tcBorders>
              <w:top w:val="single" w:sz="2" w:space="0" w:color="DDDDDD"/>
              <w:left w:val="single" w:sz="2" w:space="0" w:color="DDDDDD"/>
              <w:bottom w:val="single" w:sz="2" w:space="0" w:color="DDDDDD"/>
              <w:right w:val="single" w:sz="2" w:space="0" w:color="DDDDDD"/>
            </w:tcBorders>
            <w:shd w:val="clear" w:color="auto" w:fill="F2F2F2"/>
            <w:vAlign w:val="center"/>
          </w:tcPr>
          <w:p w:rsidR="00DB4EA6" w:rsidRDefault="00000000">
            <w:pPr>
              <w:pStyle w:val="TableHeading"/>
              <w:jc w:val="left"/>
              <w:rPr>
                <w:rFonts w:hint="eastAsia"/>
                <w:color w:val="000000"/>
              </w:rPr>
            </w:pPr>
            <w:r>
              <w:rPr>
                <w:color w:val="000000"/>
              </w:rPr>
              <w:t>Observaciones / Justificación</w:t>
            </w:r>
          </w:p>
        </w:tc>
      </w:tr>
      <w:tr w:rsidR="00DB4EA6" w:rsidTr="00297BB7">
        <w:tc>
          <w:tcPr>
            <w:tcW w:w="2664"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Tipo de Autobús: Un solo cuerpo (3.1.i)</w:t>
            </w:r>
          </w:p>
          <w:p w:rsidR="00DB4EA6" w:rsidRDefault="00000000">
            <w:pPr>
              <w:pStyle w:val="TableContents"/>
              <w:rPr>
                <w:rFonts w:hint="eastAsia"/>
                <w:color w:val="000000"/>
              </w:rPr>
            </w:pPr>
            <w:r>
              <w:rPr>
                <w:color w:val="000000"/>
              </w:rPr>
              <w:t>Pag 51</w:t>
            </w:r>
          </w:p>
        </w:tc>
        <w:tc>
          <w:tcPr>
            <w:tcW w:w="2211"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"12 meter CNG City Bus" (implica un solo cuerpo)</w:t>
            </w:r>
          </w:p>
        </w:tc>
        <w:tc>
          <w:tcPr>
            <w:tcW w:w="1626"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Conforme</w:t>
            </w:r>
          </w:p>
        </w:tc>
        <w:tc>
          <w:tcPr>
            <w:tcW w:w="3437" w:type="dxa"/>
            <w:tcBorders>
              <w:top w:val="single" w:sz="2" w:space="0" w:color="DDDDDD"/>
              <w:left w:val="single" w:sz="2" w:space="0" w:color="DDDDDD"/>
              <w:bottom w:val="single" w:sz="2" w:space="0" w:color="DDDDDD"/>
              <w:right w:val="single" w:sz="2" w:space="0" w:color="DDDDDD"/>
            </w:tcBorders>
            <w:vAlign w:val="center"/>
          </w:tcPr>
          <w:p w:rsidR="00DB4EA6" w:rsidRDefault="00DB4EA6">
            <w:pPr>
              <w:pStyle w:val="TableContents"/>
              <w:rPr>
                <w:rFonts w:hint="eastAsia"/>
                <w:sz w:val="4"/>
                <w:szCs w:val="4"/>
              </w:rPr>
            </w:pPr>
          </w:p>
        </w:tc>
      </w:tr>
      <w:tr w:rsidR="00DB4EA6" w:rsidTr="00297BB7">
        <w:tc>
          <w:tcPr>
            <w:tcW w:w="2664"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Propulsión: GNV, Eléctricos y/o Híbrido GNV-Eléctrico con tecnología Euro VI o superior (3.1.i)</w:t>
            </w:r>
          </w:p>
          <w:p w:rsidR="00DB4EA6" w:rsidRDefault="00000000">
            <w:pPr>
              <w:pStyle w:val="TableContents"/>
              <w:rPr>
                <w:rFonts w:hint="eastAsia"/>
                <w:color w:val="000000"/>
              </w:rPr>
            </w:pPr>
            <w:r>
              <w:rPr>
                <w:color w:val="000000"/>
              </w:rPr>
              <w:t>Pag 51</w:t>
            </w:r>
          </w:p>
        </w:tc>
        <w:tc>
          <w:tcPr>
            <w:tcW w:w="2211"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"YCK08300N-60/</w:t>
            </w:r>
            <w:proofErr w:type="spellStart"/>
            <w:r>
              <w:rPr>
                <w:color w:val="000000"/>
              </w:rPr>
              <w:t>Yuchai</w:t>
            </w:r>
            <w:proofErr w:type="spellEnd"/>
            <w:r>
              <w:rPr>
                <w:color w:val="000000"/>
              </w:rPr>
              <w:t xml:space="preserve"> Euro 6 CNG </w:t>
            </w:r>
            <w:proofErr w:type="spellStart"/>
            <w:r>
              <w:rPr>
                <w:color w:val="000000"/>
              </w:rPr>
              <w:t>engine</w:t>
            </w:r>
            <w:proofErr w:type="spellEnd"/>
            <w:r>
              <w:rPr>
                <w:color w:val="000000"/>
              </w:rPr>
              <w:t xml:space="preserve">", "Fuel </w:t>
            </w:r>
            <w:proofErr w:type="spellStart"/>
            <w:r>
              <w:rPr>
                <w:color w:val="000000"/>
              </w:rPr>
              <w:t>Type</w:t>
            </w:r>
            <w:proofErr w:type="spellEnd"/>
            <w:r>
              <w:rPr>
                <w:color w:val="000000"/>
              </w:rPr>
              <w:t>: Natural Gas/CNG"</w:t>
            </w:r>
          </w:p>
        </w:tc>
        <w:tc>
          <w:tcPr>
            <w:tcW w:w="1626"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Conforme</w:t>
            </w:r>
          </w:p>
        </w:tc>
        <w:tc>
          <w:tcPr>
            <w:tcW w:w="3437"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La tecnología GNV Euro VI cumple con el requisito.</w:t>
            </w:r>
          </w:p>
        </w:tc>
      </w:tr>
      <w:tr w:rsidR="00DB4EA6" w:rsidTr="00297BB7">
        <w:tc>
          <w:tcPr>
            <w:tcW w:w="2664" w:type="dxa"/>
            <w:tcBorders>
              <w:top w:val="single" w:sz="2" w:space="0" w:color="DDDDDD"/>
              <w:left w:val="single" w:sz="2" w:space="0" w:color="DDDDDD"/>
              <w:bottom w:val="single" w:sz="2" w:space="0" w:color="DDDDDD"/>
              <w:right w:val="single" w:sz="2" w:space="0" w:color="DDDDDD"/>
            </w:tcBorders>
            <w:vAlign w:val="center"/>
          </w:tcPr>
          <w:p w:rsidR="00DB4EA6" w:rsidRDefault="00DB4EA6">
            <w:pPr>
              <w:pStyle w:val="TableContents"/>
              <w:rPr>
                <w:rFonts w:hint="eastAsia"/>
                <w:color w:val="000000"/>
              </w:rPr>
            </w:pPr>
          </w:p>
        </w:tc>
        <w:tc>
          <w:tcPr>
            <w:tcW w:w="2211" w:type="dxa"/>
            <w:tcBorders>
              <w:top w:val="single" w:sz="2" w:space="0" w:color="DDDDDD"/>
              <w:left w:val="single" w:sz="2" w:space="0" w:color="DDDDDD"/>
              <w:bottom w:val="single" w:sz="2" w:space="0" w:color="DDDDDD"/>
              <w:right w:val="single" w:sz="2" w:space="0" w:color="DDDDDD"/>
            </w:tcBorders>
            <w:vAlign w:val="center"/>
          </w:tcPr>
          <w:p w:rsidR="00DB4EA6" w:rsidRDefault="00DB4EA6">
            <w:pPr>
              <w:pStyle w:val="TableContents"/>
              <w:rPr>
                <w:rFonts w:hint="eastAsia"/>
                <w:color w:val="000000"/>
              </w:rPr>
            </w:pPr>
          </w:p>
        </w:tc>
        <w:tc>
          <w:tcPr>
            <w:tcW w:w="1626" w:type="dxa"/>
            <w:tcBorders>
              <w:top w:val="single" w:sz="2" w:space="0" w:color="DDDDDD"/>
              <w:left w:val="single" w:sz="2" w:space="0" w:color="DDDDDD"/>
              <w:bottom w:val="single" w:sz="2" w:space="0" w:color="DDDDDD"/>
              <w:right w:val="single" w:sz="2" w:space="0" w:color="DDDDDD"/>
            </w:tcBorders>
            <w:vAlign w:val="center"/>
          </w:tcPr>
          <w:p w:rsidR="00DB4EA6" w:rsidRDefault="00DB4EA6">
            <w:pPr>
              <w:pStyle w:val="TableContents"/>
              <w:rPr>
                <w:rFonts w:hint="eastAsia"/>
                <w:color w:val="000000"/>
              </w:rPr>
            </w:pPr>
          </w:p>
        </w:tc>
        <w:tc>
          <w:tcPr>
            <w:tcW w:w="3437" w:type="dxa"/>
            <w:tcBorders>
              <w:top w:val="single" w:sz="2" w:space="0" w:color="DDDDDD"/>
              <w:left w:val="single" w:sz="2" w:space="0" w:color="DDDDDD"/>
              <w:bottom w:val="single" w:sz="2" w:space="0" w:color="DDDDDD"/>
              <w:right w:val="single" w:sz="2" w:space="0" w:color="DDDDDD"/>
            </w:tcBorders>
            <w:vAlign w:val="center"/>
          </w:tcPr>
          <w:p w:rsidR="00DB4EA6" w:rsidRDefault="00DB4EA6">
            <w:pPr>
              <w:pStyle w:val="TableContents"/>
              <w:rPr>
                <w:rFonts w:hint="eastAsia"/>
                <w:color w:val="000000"/>
              </w:rPr>
            </w:pPr>
          </w:p>
        </w:tc>
      </w:tr>
      <w:tr w:rsidR="00DB4EA6" w:rsidTr="00297BB7">
        <w:tc>
          <w:tcPr>
            <w:tcW w:w="2664"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Autonomía: Mínimo 300 km (3.1.K)</w:t>
            </w:r>
          </w:p>
          <w:p w:rsidR="00DB4EA6" w:rsidRDefault="00000000">
            <w:pPr>
              <w:pStyle w:val="TableContents"/>
              <w:rPr>
                <w:rFonts w:hint="eastAsia"/>
                <w:color w:val="000000"/>
              </w:rPr>
            </w:pPr>
            <w:r>
              <w:rPr>
                <w:color w:val="000000"/>
              </w:rPr>
              <w:t>Pag 51</w:t>
            </w:r>
          </w:p>
        </w:tc>
        <w:tc>
          <w:tcPr>
            <w:tcW w:w="2211"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 xml:space="preserve">"CNG </w:t>
            </w:r>
            <w:proofErr w:type="spellStart"/>
            <w:r>
              <w:rPr>
                <w:color w:val="000000"/>
              </w:rPr>
              <w:t>cylinder</w:t>
            </w:r>
            <w:proofErr w:type="spellEnd"/>
            <w:r>
              <w:rPr>
                <w:color w:val="000000"/>
              </w:rPr>
              <w:t xml:space="preserve">: 6X160L </w:t>
            </w:r>
            <w:proofErr w:type="spellStart"/>
            <w:r>
              <w:rPr>
                <w:color w:val="000000"/>
              </w:rPr>
              <w:t>type</w:t>
            </w:r>
            <w:proofErr w:type="spellEnd"/>
            <w:r>
              <w:rPr>
                <w:color w:val="000000"/>
              </w:rPr>
              <w:t xml:space="preserve"> 4 bottom </w:t>
            </w:r>
            <w:proofErr w:type="spellStart"/>
            <w:r>
              <w:rPr>
                <w:color w:val="000000"/>
              </w:rPr>
              <w:t>mounted</w:t>
            </w:r>
            <w:proofErr w:type="spellEnd"/>
            <w:r>
              <w:rPr>
                <w:color w:val="000000"/>
              </w:rPr>
              <w:t>". No se especifica autonomía en km.</w:t>
            </w:r>
          </w:p>
        </w:tc>
        <w:tc>
          <w:tcPr>
            <w:tcW w:w="1626"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No Conforme</w:t>
            </w:r>
          </w:p>
        </w:tc>
        <w:tc>
          <w:tcPr>
            <w:tcW w:w="3437"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La autonomía requerida no está explícitamente declarada, lo cual es un requisito crucial para la operación.</w:t>
            </w:r>
          </w:p>
        </w:tc>
      </w:tr>
      <w:tr w:rsidR="00DB4EA6" w:rsidTr="00297BB7">
        <w:tc>
          <w:tcPr>
            <w:tcW w:w="2664"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 xml:space="preserve">Peso Total Máximo Admisible: 18,000 </w:t>
            </w:r>
            <w:proofErr w:type="spellStart"/>
            <w:r>
              <w:rPr>
                <w:color w:val="000000"/>
              </w:rPr>
              <w:t>kgf</w:t>
            </w:r>
            <w:proofErr w:type="spellEnd"/>
            <w:r>
              <w:rPr>
                <w:color w:val="000000"/>
              </w:rPr>
              <w:t xml:space="preserve"> (3.1.p.5)</w:t>
            </w:r>
          </w:p>
          <w:p w:rsidR="00DB4EA6" w:rsidRDefault="00000000">
            <w:pPr>
              <w:pStyle w:val="TableContents"/>
              <w:rPr>
                <w:rFonts w:hint="eastAsia"/>
                <w:color w:val="000000"/>
              </w:rPr>
            </w:pPr>
            <w:r>
              <w:rPr>
                <w:color w:val="000000"/>
              </w:rPr>
              <w:t>Pag 52</w:t>
            </w:r>
          </w:p>
        </w:tc>
        <w:tc>
          <w:tcPr>
            <w:tcW w:w="2211"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w:t>
            </w:r>
            <w:proofErr w:type="spellStart"/>
            <w:r>
              <w:rPr>
                <w:color w:val="000000"/>
              </w:rPr>
              <w:t>Maximum</w:t>
            </w:r>
            <w:proofErr w:type="spellEnd"/>
            <w:r>
              <w:rPr>
                <w:color w:val="000000"/>
              </w:rPr>
              <w:t xml:space="preserve"> </w:t>
            </w:r>
            <w:proofErr w:type="spellStart"/>
            <w:r>
              <w:rPr>
                <w:color w:val="000000"/>
              </w:rPr>
              <w:t>weight</w:t>
            </w:r>
            <w:proofErr w:type="spellEnd"/>
            <w:r>
              <w:rPr>
                <w:color w:val="000000"/>
              </w:rPr>
              <w:t xml:space="preserve"> (Kg): 18000"</w:t>
            </w:r>
          </w:p>
        </w:tc>
        <w:tc>
          <w:tcPr>
            <w:tcW w:w="1626"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Necesita aclaración</w:t>
            </w:r>
          </w:p>
        </w:tc>
        <w:tc>
          <w:tcPr>
            <w:tcW w:w="3437"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rPr>
            </w:pPr>
            <w:r>
              <w:t xml:space="preserve">No presenta el peso en orden de marcha para poder certificar que no </w:t>
            </w:r>
            <w:proofErr w:type="spellStart"/>
            <w:r>
              <w:t>excedde</w:t>
            </w:r>
            <w:proofErr w:type="spellEnd"/>
            <w:r>
              <w:t xml:space="preserve"> los 18000 </w:t>
            </w:r>
            <w:proofErr w:type="spellStart"/>
            <w:r>
              <w:t>Kgf</w:t>
            </w:r>
            <w:proofErr w:type="spellEnd"/>
            <w:r>
              <w:t xml:space="preserve"> cuando cargado con todos pasajeros</w:t>
            </w:r>
          </w:p>
        </w:tc>
      </w:tr>
      <w:tr w:rsidR="00DB4EA6" w:rsidTr="00297BB7">
        <w:tc>
          <w:tcPr>
            <w:tcW w:w="2664"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Carga por Eje Max: Eje delantero 7,500 kg, Eje trasero 13,000 kg (3.1.p.6)</w:t>
            </w:r>
          </w:p>
          <w:p w:rsidR="00DB4EA6" w:rsidRDefault="00000000">
            <w:pPr>
              <w:pStyle w:val="TableContents"/>
              <w:rPr>
                <w:rFonts w:hint="eastAsia"/>
                <w:color w:val="000000"/>
              </w:rPr>
            </w:pPr>
            <w:r>
              <w:rPr>
                <w:color w:val="000000"/>
              </w:rPr>
              <w:lastRenderedPageBreak/>
              <w:t>Pag 53</w:t>
            </w:r>
          </w:p>
        </w:tc>
        <w:tc>
          <w:tcPr>
            <w:tcW w:w="2211"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lastRenderedPageBreak/>
              <w:t>"</w:t>
            </w:r>
            <w:proofErr w:type="spellStart"/>
            <w:r>
              <w:rPr>
                <w:color w:val="000000"/>
              </w:rPr>
              <w:t>Axle</w:t>
            </w:r>
            <w:proofErr w:type="spellEnd"/>
            <w:r>
              <w:rPr>
                <w:color w:val="000000"/>
              </w:rPr>
              <w:t xml:space="preserve"> load (Kg): 6500/11500" (delantero/trasero)</w:t>
            </w:r>
          </w:p>
        </w:tc>
        <w:tc>
          <w:tcPr>
            <w:tcW w:w="1626"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Conforme</w:t>
            </w:r>
          </w:p>
        </w:tc>
        <w:tc>
          <w:tcPr>
            <w:tcW w:w="3437" w:type="dxa"/>
            <w:tcBorders>
              <w:top w:val="single" w:sz="2" w:space="0" w:color="DDDDDD"/>
              <w:left w:val="single" w:sz="2" w:space="0" w:color="DDDDDD"/>
              <w:bottom w:val="single" w:sz="2" w:space="0" w:color="DDDDDD"/>
              <w:right w:val="single" w:sz="2" w:space="0" w:color="DDDDDD"/>
            </w:tcBorders>
            <w:vAlign w:val="center"/>
          </w:tcPr>
          <w:p w:rsidR="00DB4EA6" w:rsidRDefault="00DB4EA6">
            <w:pPr>
              <w:pStyle w:val="TableContents"/>
              <w:rPr>
                <w:rFonts w:hint="eastAsia"/>
                <w:color w:val="000000"/>
              </w:rPr>
            </w:pPr>
          </w:p>
        </w:tc>
      </w:tr>
      <w:tr w:rsidR="00DB4EA6" w:rsidTr="00297BB7">
        <w:tc>
          <w:tcPr>
            <w:tcW w:w="2664"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Radio de Coronas Circulares: Interior 5.3 m, Exterior 12.5 m (3.1.p.7)</w:t>
            </w:r>
          </w:p>
          <w:p w:rsidR="00DB4EA6" w:rsidRDefault="00000000">
            <w:pPr>
              <w:pStyle w:val="TableContents"/>
              <w:rPr>
                <w:rFonts w:hint="eastAsia"/>
                <w:color w:val="000000"/>
              </w:rPr>
            </w:pPr>
            <w:r>
              <w:rPr>
                <w:color w:val="000000"/>
              </w:rPr>
              <w:t>Pag 53</w:t>
            </w:r>
          </w:p>
        </w:tc>
        <w:tc>
          <w:tcPr>
            <w:tcW w:w="2211"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w:t>
            </w:r>
            <w:proofErr w:type="spellStart"/>
            <w:r>
              <w:rPr>
                <w:color w:val="000000"/>
              </w:rPr>
              <w:t>Minimum</w:t>
            </w:r>
            <w:proofErr w:type="spellEnd"/>
            <w:r>
              <w:rPr>
                <w:color w:val="000000"/>
              </w:rPr>
              <w:t xml:space="preserve"> </w:t>
            </w:r>
            <w:proofErr w:type="spellStart"/>
            <w:r>
              <w:rPr>
                <w:color w:val="000000"/>
              </w:rPr>
              <w:t>turning</w:t>
            </w:r>
            <w:proofErr w:type="spellEnd"/>
            <w:r>
              <w:rPr>
                <w:color w:val="000000"/>
              </w:rPr>
              <w:t xml:space="preserve"> </w:t>
            </w:r>
            <w:proofErr w:type="spellStart"/>
            <w:r>
              <w:rPr>
                <w:color w:val="000000"/>
              </w:rPr>
              <w:t>diameter</w:t>
            </w:r>
            <w:proofErr w:type="spellEnd"/>
            <w:r>
              <w:rPr>
                <w:color w:val="000000"/>
              </w:rPr>
              <w:t xml:space="preserve"> (m): ≤24" (implica radio exterior ≤12m)</w:t>
            </w:r>
          </w:p>
          <w:p w:rsidR="00DB4EA6" w:rsidRDefault="00DB4EA6">
            <w:pPr>
              <w:pStyle w:val="TableContents"/>
              <w:rPr>
                <w:rFonts w:hint="eastAsia"/>
                <w:color w:val="000000"/>
              </w:rPr>
            </w:pPr>
          </w:p>
          <w:p w:rsidR="00DB4EA6" w:rsidRDefault="00000000">
            <w:pPr>
              <w:pStyle w:val="TableContents"/>
              <w:rPr>
                <w:rFonts w:hint="eastAsia"/>
                <w:color w:val="000000"/>
              </w:rPr>
            </w:pPr>
            <w:r>
              <w:rPr>
                <w:color w:val="000000"/>
              </w:rPr>
              <w:t>Pag 1</w:t>
            </w:r>
          </w:p>
        </w:tc>
        <w:tc>
          <w:tcPr>
            <w:tcW w:w="1626"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Parcialmente Conforme / Necesita aclaración</w:t>
            </w:r>
          </w:p>
        </w:tc>
        <w:tc>
          <w:tcPr>
            <w:tcW w:w="3437"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El radio exterior de 12m es mejor (menor) que el máximo de 12.5m, lo cual es positivo para la maniobrabilidad. Sin embargo, no se especifica el radio interior, y la licitación podría requerir valores exactos o dentro de un rango específico para ambos.</w:t>
            </w:r>
          </w:p>
        </w:tc>
      </w:tr>
      <w:tr w:rsidR="00DB4EA6" w:rsidTr="00297BB7">
        <w:tc>
          <w:tcPr>
            <w:tcW w:w="2664"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Dimensiones Máximas (Largo/Ancho/Altura): 12.5m / 2.6m / 3.85m (3.1.p.8)</w:t>
            </w:r>
          </w:p>
          <w:p w:rsidR="00DB4EA6" w:rsidRDefault="00000000">
            <w:pPr>
              <w:pStyle w:val="TableContents"/>
              <w:rPr>
                <w:rFonts w:hint="eastAsia"/>
                <w:color w:val="000000"/>
              </w:rPr>
            </w:pPr>
            <w:r>
              <w:rPr>
                <w:color w:val="000000"/>
              </w:rPr>
              <w:t>Pag 53</w:t>
            </w:r>
          </w:p>
        </w:tc>
        <w:tc>
          <w:tcPr>
            <w:tcW w:w="2211"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w:t>
            </w:r>
            <w:proofErr w:type="spellStart"/>
            <w:r>
              <w:rPr>
                <w:color w:val="000000"/>
              </w:rPr>
              <w:t>Length</w:t>
            </w:r>
            <w:proofErr w:type="spellEnd"/>
            <w:r>
              <w:rPr>
                <w:color w:val="000000"/>
              </w:rPr>
              <w:t xml:space="preserve"> x </w:t>
            </w:r>
            <w:proofErr w:type="spellStart"/>
            <w:r>
              <w:rPr>
                <w:color w:val="000000"/>
              </w:rPr>
              <w:t>Width</w:t>
            </w:r>
            <w:proofErr w:type="spellEnd"/>
            <w:r>
              <w:rPr>
                <w:color w:val="000000"/>
              </w:rPr>
              <w:t xml:space="preserve"> x </w:t>
            </w:r>
            <w:proofErr w:type="spellStart"/>
            <w:r>
              <w:rPr>
                <w:color w:val="000000"/>
              </w:rPr>
              <w:t>Height</w:t>
            </w:r>
            <w:proofErr w:type="spellEnd"/>
            <w:r>
              <w:rPr>
                <w:color w:val="000000"/>
              </w:rPr>
              <w:t>: 12000x2550x3700 mm" (12m x 2.55m x 3.7m)</w:t>
            </w:r>
          </w:p>
          <w:p w:rsidR="00DB4EA6" w:rsidRDefault="00DB4EA6">
            <w:pPr>
              <w:pStyle w:val="TableContents"/>
              <w:rPr>
                <w:rFonts w:hint="eastAsia"/>
                <w:color w:val="000000"/>
              </w:rPr>
            </w:pPr>
          </w:p>
          <w:p w:rsidR="00DB4EA6" w:rsidRDefault="00000000">
            <w:pPr>
              <w:pStyle w:val="TableContents"/>
              <w:rPr>
                <w:rFonts w:hint="eastAsia"/>
                <w:color w:val="000000"/>
              </w:rPr>
            </w:pPr>
            <w:r>
              <w:rPr>
                <w:color w:val="000000"/>
              </w:rPr>
              <w:t>Pag 1</w:t>
            </w:r>
          </w:p>
        </w:tc>
        <w:tc>
          <w:tcPr>
            <w:tcW w:w="1626"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Conforme</w:t>
            </w:r>
          </w:p>
        </w:tc>
        <w:tc>
          <w:tcPr>
            <w:tcW w:w="3437"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Todas las dimensiones de la oferta están dentro de los máximos permitidos.</w:t>
            </w:r>
          </w:p>
        </w:tc>
      </w:tr>
      <w:tr w:rsidR="00DB4EA6" w:rsidTr="00297BB7">
        <w:tc>
          <w:tcPr>
            <w:tcW w:w="2664"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Arranque en pendiente 20% (3.4.2.c para eléctricos, implícito para todos) Pag 90 e 128</w:t>
            </w:r>
          </w:p>
          <w:p w:rsidR="00DB4EA6" w:rsidRDefault="00DB4EA6">
            <w:pPr>
              <w:pStyle w:val="TableContents"/>
              <w:rPr>
                <w:rFonts w:hint="eastAsia"/>
                <w:color w:val="000000"/>
              </w:rPr>
            </w:pPr>
          </w:p>
        </w:tc>
        <w:tc>
          <w:tcPr>
            <w:tcW w:w="2211"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w:t>
            </w:r>
            <w:proofErr w:type="spellStart"/>
            <w:r>
              <w:rPr>
                <w:color w:val="000000"/>
              </w:rPr>
              <w:t>Maximum</w:t>
            </w:r>
            <w:proofErr w:type="spellEnd"/>
            <w:r>
              <w:rPr>
                <w:color w:val="000000"/>
              </w:rPr>
              <w:t xml:space="preserve"> </w:t>
            </w:r>
            <w:proofErr w:type="spellStart"/>
            <w:r>
              <w:rPr>
                <w:color w:val="000000"/>
              </w:rPr>
              <w:t>gradeability</w:t>
            </w:r>
            <w:proofErr w:type="spellEnd"/>
            <w:r>
              <w:rPr>
                <w:color w:val="000000"/>
              </w:rPr>
              <w:t>（</w:t>
            </w:r>
            <w:r>
              <w:rPr>
                <w:color w:val="000000"/>
              </w:rPr>
              <w:t>%</w:t>
            </w:r>
            <w:r>
              <w:rPr>
                <w:color w:val="000000"/>
              </w:rPr>
              <w:t>）</w:t>
            </w:r>
            <w:r>
              <w:rPr>
                <w:color w:val="000000"/>
              </w:rPr>
              <w:t>: 15"</w:t>
            </w:r>
          </w:p>
          <w:p w:rsidR="00DB4EA6" w:rsidRDefault="00DB4EA6">
            <w:pPr>
              <w:pStyle w:val="TableContents"/>
              <w:rPr>
                <w:rFonts w:hint="eastAsia"/>
                <w:color w:val="000000"/>
              </w:rPr>
            </w:pPr>
          </w:p>
          <w:p w:rsidR="00DB4EA6" w:rsidRDefault="00000000">
            <w:pPr>
              <w:pStyle w:val="TableContents"/>
              <w:rPr>
                <w:rFonts w:hint="eastAsia"/>
                <w:color w:val="000000"/>
              </w:rPr>
            </w:pPr>
            <w:r>
              <w:rPr>
                <w:color w:val="000000"/>
              </w:rPr>
              <w:t>Pag 1</w:t>
            </w:r>
          </w:p>
        </w:tc>
        <w:tc>
          <w:tcPr>
            <w:tcW w:w="1626"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No Conforme</w:t>
            </w:r>
          </w:p>
        </w:tc>
        <w:tc>
          <w:tcPr>
            <w:tcW w:w="3437"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La capacidad de superar pendientes de 15% es inferior al  20% para arranque en pendiente requerido, lo cual afectaría el desempeño operacional en rutas con mayor inclinación.</w:t>
            </w:r>
          </w:p>
        </w:tc>
      </w:tr>
      <w:tr w:rsidR="00DB4EA6" w:rsidTr="00297BB7">
        <w:tc>
          <w:tcPr>
            <w:tcW w:w="2664"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 xml:space="preserve">Sistema de Detección de Peso: Con señal auditiva/luminosa y conexión a la unidad lógica de a bordo (3.2.2.2.g) </w:t>
            </w:r>
            <w:proofErr w:type="spellStart"/>
            <w:r>
              <w:rPr>
                <w:color w:val="000000"/>
              </w:rPr>
              <w:t>pag</w:t>
            </w:r>
            <w:proofErr w:type="spellEnd"/>
            <w:r>
              <w:rPr>
                <w:color w:val="000000"/>
              </w:rPr>
              <w:t xml:space="preserve"> 61</w:t>
            </w:r>
          </w:p>
        </w:tc>
        <w:tc>
          <w:tcPr>
            <w:tcW w:w="2211"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No hay mención explícita de este sistema.</w:t>
            </w:r>
          </w:p>
        </w:tc>
        <w:tc>
          <w:tcPr>
            <w:tcW w:w="1626"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No Conforme</w:t>
            </w:r>
          </w:p>
        </w:tc>
        <w:tc>
          <w:tcPr>
            <w:tcW w:w="3437"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La ausencia de un sistema de detección de peso con las funcionalidades requeridas es un incumplimiento de seguridad y control operacional.</w:t>
            </w:r>
          </w:p>
        </w:tc>
      </w:tr>
      <w:tr w:rsidR="00DB4EA6" w:rsidTr="00297BB7">
        <w:tc>
          <w:tcPr>
            <w:tcW w:w="2664" w:type="dxa"/>
            <w:tcBorders>
              <w:top w:val="single" w:sz="2" w:space="0" w:color="DDDDDD"/>
              <w:left w:val="single" w:sz="2" w:space="0" w:color="DDDDDD"/>
              <w:bottom w:val="single" w:sz="2" w:space="0" w:color="DDDDDD"/>
              <w:right w:val="single" w:sz="2" w:space="0" w:color="DDDDDD"/>
            </w:tcBorders>
            <w:vAlign w:val="center"/>
          </w:tcPr>
          <w:p w:rsidR="00DB4EA6" w:rsidRDefault="00DB4EA6">
            <w:pPr>
              <w:pStyle w:val="TableContents"/>
              <w:rPr>
                <w:rFonts w:hint="eastAsia"/>
                <w:color w:val="000000"/>
              </w:rPr>
            </w:pPr>
          </w:p>
        </w:tc>
        <w:tc>
          <w:tcPr>
            <w:tcW w:w="2211" w:type="dxa"/>
            <w:tcBorders>
              <w:top w:val="single" w:sz="2" w:space="0" w:color="DDDDDD"/>
              <w:left w:val="single" w:sz="2" w:space="0" w:color="DDDDDD"/>
              <w:bottom w:val="single" w:sz="2" w:space="0" w:color="DDDDDD"/>
              <w:right w:val="single" w:sz="2" w:space="0" w:color="DDDDDD"/>
            </w:tcBorders>
            <w:vAlign w:val="center"/>
          </w:tcPr>
          <w:p w:rsidR="00DB4EA6" w:rsidRDefault="00DB4EA6">
            <w:pPr>
              <w:pStyle w:val="TableContents"/>
              <w:rPr>
                <w:rFonts w:hint="eastAsia"/>
                <w:color w:val="000000"/>
              </w:rPr>
            </w:pPr>
          </w:p>
        </w:tc>
        <w:tc>
          <w:tcPr>
            <w:tcW w:w="1626" w:type="dxa"/>
            <w:tcBorders>
              <w:top w:val="single" w:sz="2" w:space="0" w:color="DDDDDD"/>
              <w:left w:val="single" w:sz="2" w:space="0" w:color="DDDDDD"/>
              <w:bottom w:val="single" w:sz="2" w:space="0" w:color="DDDDDD"/>
              <w:right w:val="single" w:sz="2" w:space="0" w:color="DDDDDD"/>
            </w:tcBorders>
            <w:vAlign w:val="center"/>
          </w:tcPr>
          <w:p w:rsidR="00DB4EA6" w:rsidRDefault="00DB4EA6">
            <w:pPr>
              <w:pStyle w:val="TableContents"/>
              <w:rPr>
                <w:rFonts w:hint="eastAsia"/>
                <w:color w:val="000000"/>
              </w:rPr>
            </w:pPr>
          </w:p>
        </w:tc>
        <w:tc>
          <w:tcPr>
            <w:tcW w:w="3437" w:type="dxa"/>
            <w:tcBorders>
              <w:top w:val="single" w:sz="2" w:space="0" w:color="DDDDDD"/>
              <w:left w:val="single" w:sz="2" w:space="0" w:color="DDDDDD"/>
              <w:bottom w:val="single" w:sz="2" w:space="0" w:color="DDDDDD"/>
              <w:right w:val="single" w:sz="2" w:space="0" w:color="DDDDDD"/>
            </w:tcBorders>
            <w:vAlign w:val="center"/>
          </w:tcPr>
          <w:p w:rsidR="00DB4EA6" w:rsidRDefault="00DB4EA6">
            <w:pPr>
              <w:pStyle w:val="TableContents"/>
              <w:rPr>
                <w:rFonts w:hint="eastAsia"/>
                <w:color w:val="000000"/>
              </w:rPr>
            </w:pPr>
          </w:p>
        </w:tc>
      </w:tr>
      <w:tr w:rsidR="00DB4EA6" w:rsidTr="00297BB7">
        <w:tc>
          <w:tcPr>
            <w:tcW w:w="2664" w:type="dxa"/>
            <w:tcBorders>
              <w:top w:val="single" w:sz="2" w:space="0" w:color="DDDDDD"/>
              <w:left w:val="single" w:sz="2" w:space="0" w:color="DDDDDD"/>
              <w:bottom w:val="single" w:sz="2" w:space="0" w:color="DDDDDD"/>
              <w:right w:val="single" w:sz="2" w:space="0" w:color="DDDDDD"/>
            </w:tcBorders>
            <w:vAlign w:val="center"/>
          </w:tcPr>
          <w:p w:rsidR="00DB4EA6" w:rsidRDefault="00DB4EA6">
            <w:pPr>
              <w:pStyle w:val="TableContents"/>
              <w:rPr>
                <w:rFonts w:hint="eastAsia"/>
                <w:color w:val="000000"/>
              </w:rPr>
            </w:pPr>
          </w:p>
        </w:tc>
        <w:tc>
          <w:tcPr>
            <w:tcW w:w="2211" w:type="dxa"/>
            <w:tcBorders>
              <w:top w:val="single" w:sz="2" w:space="0" w:color="DDDDDD"/>
              <w:left w:val="single" w:sz="2" w:space="0" w:color="DDDDDD"/>
              <w:bottom w:val="single" w:sz="2" w:space="0" w:color="DDDDDD"/>
              <w:right w:val="single" w:sz="2" w:space="0" w:color="DDDDDD"/>
            </w:tcBorders>
            <w:vAlign w:val="center"/>
          </w:tcPr>
          <w:p w:rsidR="00DB4EA6" w:rsidRDefault="00DB4EA6">
            <w:pPr>
              <w:pStyle w:val="TableContents"/>
              <w:rPr>
                <w:rFonts w:hint="eastAsia"/>
                <w:color w:val="000000"/>
              </w:rPr>
            </w:pPr>
          </w:p>
        </w:tc>
        <w:tc>
          <w:tcPr>
            <w:tcW w:w="1626" w:type="dxa"/>
            <w:tcBorders>
              <w:top w:val="single" w:sz="2" w:space="0" w:color="DDDDDD"/>
              <w:left w:val="single" w:sz="2" w:space="0" w:color="DDDDDD"/>
              <w:bottom w:val="single" w:sz="2" w:space="0" w:color="DDDDDD"/>
              <w:right w:val="single" w:sz="2" w:space="0" w:color="DDDDDD"/>
            </w:tcBorders>
            <w:vAlign w:val="center"/>
          </w:tcPr>
          <w:p w:rsidR="00DB4EA6" w:rsidRDefault="00DB4EA6">
            <w:pPr>
              <w:pStyle w:val="TableContents"/>
              <w:rPr>
                <w:rFonts w:hint="eastAsia"/>
                <w:color w:val="000000"/>
              </w:rPr>
            </w:pPr>
          </w:p>
        </w:tc>
        <w:tc>
          <w:tcPr>
            <w:tcW w:w="3437" w:type="dxa"/>
            <w:tcBorders>
              <w:top w:val="single" w:sz="2" w:space="0" w:color="DDDDDD"/>
              <w:left w:val="single" w:sz="2" w:space="0" w:color="DDDDDD"/>
              <w:bottom w:val="single" w:sz="2" w:space="0" w:color="DDDDDD"/>
              <w:right w:val="single" w:sz="2" w:space="0" w:color="DDDDDD"/>
            </w:tcBorders>
            <w:vAlign w:val="center"/>
          </w:tcPr>
          <w:p w:rsidR="00DB4EA6" w:rsidRDefault="00DB4EA6">
            <w:pPr>
              <w:pStyle w:val="TableContents"/>
              <w:rPr>
                <w:rFonts w:hint="eastAsia"/>
                <w:color w:val="000000"/>
              </w:rPr>
            </w:pPr>
          </w:p>
        </w:tc>
      </w:tr>
      <w:tr w:rsidR="00DB4EA6" w:rsidTr="00297BB7">
        <w:tc>
          <w:tcPr>
            <w:tcW w:w="2664"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Iluminación Exterior: Todo sistema de iluminación LED o superior (3.2.2.5.1.a) Pag 30</w:t>
            </w:r>
          </w:p>
        </w:tc>
        <w:tc>
          <w:tcPr>
            <w:tcW w:w="2211"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proofErr w:type="spellStart"/>
            <w:r>
              <w:rPr>
                <w:color w:val="000000"/>
              </w:rPr>
              <w:t>halogen</w:t>
            </w:r>
            <w:proofErr w:type="spellEnd"/>
            <w:r>
              <w:rPr>
                <w:color w:val="000000"/>
              </w:rPr>
              <w:t xml:space="preserve"> </w:t>
            </w:r>
            <w:proofErr w:type="spellStart"/>
            <w:r>
              <w:rPr>
                <w:color w:val="000000"/>
              </w:rPr>
              <w:t>combination</w:t>
            </w:r>
            <w:proofErr w:type="spellEnd"/>
            <w:r>
              <w:rPr>
                <w:color w:val="000000"/>
              </w:rPr>
              <w:t xml:space="preserve"> </w:t>
            </w:r>
            <w:proofErr w:type="spellStart"/>
            <w:r>
              <w:rPr>
                <w:color w:val="000000"/>
              </w:rPr>
              <w:t>lamps</w:t>
            </w:r>
            <w:proofErr w:type="spellEnd"/>
            <w:r>
              <w:rPr>
                <w:color w:val="000000"/>
              </w:rPr>
              <w:t xml:space="preserve"> at </w:t>
            </w:r>
            <w:proofErr w:type="spellStart"/>
            <w:r>
              <w:rPr>
                <w:color w:val="000000"/>
              </w:rPr>
              <w:t>the</w:t>
            </w:r>
            <w:proofErr w:type="spellEnd"/>
            <w:r>
              <w:rPr>
                <w:color w:val="000000"/>
              </w:rPr>
              <w:t xml:space="preserve"> </w:t>
            </w:r>
            <w:proofErr w:type="spellStart"/>
            <w:r>
              <w:rPr>
                <w:color w:val="000000"/>
              </w:rPr>
              <w:t>front</w:t>
            </w:r>
            <w:proofErr w:type="spellEnd"/>
            <w:r>
              <w:rPr>
                <w:color w:val="000000"/>
              </w:rPr>
              <w:t xml:space="preserve"> and </w:t>
            </w:r>
            <w:proofErr w:type="spellStart"/>
            <w:r>
              <w:rPr>
                <w:color w:val="000000"/>
              </w:rPr>
              <w:t>rear</w:t>
            </w:r>
            <w:proofErr w:type="spellEnd"/>
            <w:r>
              <w:rPr>
                <w:color w:val="000000"/>
              </w:rPr>
              <w:t>"</w:t>
            </w:r>
          </w:p>
          <w:p w:rsidR="00DB4EA6" w:rsidRDefault="00000000">
            <w:pPr>
              <w:pStyle w:val="TableContents"/>
              <w:rPr>
                <w:rFonts w:hint="eastAsia"/>
                <w:color w:val="000000"/>
              </w:rPr>
            </w:pPr>
            <w:r>
              <w:rPr>
                <w:color w:val="000000"/>
              </w:rPr>
              <w:t>Pag 3</w:t>
            </w:r>
          </w:p>
        </w:tc>
        <w:tc>
          <w:tcPr>
            <w:tcW w:w="1626"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No Conforme</w:t>
            </w:r>
          </w:p>
        </w:tc>
        <w:tc>
          <w:tcPr>
            <w:tcW w:w="3437"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El uso de lámparas halógenas contradice el requisito de que toda la iluminación sea LED o superior.</w:t>
            </w:r>
          </w:p>
        </w:tc>
      </w:tr>
      <w:tr w:rsidR="00DB4EA6" w:rsidTr="00297BB7">
        <w:tc>
          <w:tcPr>
            <w:tcW w:w="2664" w:type="dxa"/>
            <w:tcBorders>
              <w:top w:val="single" w:sz="2" w:space="0" w:color="DDDDDD"/>
              <w:left w:val="single" w:sz="2" w:space="0" w:color="DDDDDD"/>
              <w:bottom w:val="single" w:sz="2" w:space="0" w:color="DDDDDD"/>
              <w:right w:val="single" w:sz="2" w:space="0" w:color="DDDDDD"/>
            </w:tcBorders>
            <w:vAlign w:val="center"/>
          </w:tcPr>
          <w:p w:rsidR="00DB4EA6" w:rsidRDefault="00DB4EA6">
            <w:pPr>
              <w:pStyle w:val="TableContents"/>
              <w:rPr>
                <w:rFonts w:hint="eastAsia"/>
                <w:color w:val="000000"/>
              </w:rPr>
            </w:pPr>
          </w:p>
        </w:tc>
        <w:tc>
          <w:tcPr>
            <w:tcW w:w="2211" w:type="dxa"/>
            <w:tcBorders>
              <w:top w:val="single" w:sz="2" w:space="0" w:color="DDDDDD"/>
              <w:left w:val="single" w:sz="2" w:space="0" w:color="DDDDDD"/>
              <w:bottom w:val="single" w:sz="2" w:space="0" w:color="DDDDDD"/>
              <w:right w:val="single" w:sz="2" w:space="0" w:color="DDDDDD"/>
            </w:tcBorders>
            <w:vAlign w:val="center"/>
          </w:tcPr>
          <w:p w:rsidR="00DB4EA6" w:rsidRDefault="00DB4EA6">
            <w:pPr>
              <w:pStyle w:val="TableContents"/>
              <w:rPr>
                <w:rFonts w:hint="eastAsia"/>
                <w:color w:val="000000"/>
              </w:rPr>
            </w:pPr>
          </w:p>
        </w:tc>
        <w:tc>
          <w:tcPr>
            <w:tcW w:w="1626" w:type="dxa"/>
            <w:tcBorders>
              <w:top w:val="single" w:sz="2" w:space="0" w:color="DDDDDD"/>
              <w:left w:val="single" w:sz="2" w:space="0" w:color="DDDDDD"/>
              <w:bottom w:val="single" w:sz="2" w:space="0" w:color="DDDDDD"/>
              <w:right w:val="single" w:sz="2" w:space="0" w:color="DDDDDD"/>
            </w:tcBorders>
            <w:vAlign w:val="center"/>
          </w:tcPr>
          <w:p w:rsidR="00DB4EA6" w:rsidRDefault="00DB4EA6">
            <w:pPr>
              <w:pStyle w:val="TableContents"/>
              <w:rPr>
                <w:rFonts w:hint="eastAsia"/>
                <w:color w:val="000000"/>
              </w:rPr>
            </w:pPr>
          </w:p>
        </w:tc>
        <w:tc>
          <w:tcPr>
            <w:tcW w:w="3437" w:type="dxa"/>
            <w:tcBorders>
              <w:top w:val="single" w:sz="2" w:space="0" w:color="DDDDDD"/>
              <w:left w:val="single" w:sz="2" w:space="0" w:color="DDDDDD"/>
              <w:bottom w:val="single" w:sz="2" w:space="0" w:color="DDDDDD"/>
              <w:right w:val="single" w:sz="2" w:space="0" w:color="DDDDDD"/>
            </w:tcBorders>
            <w:vAlign w:val="center"/>
          </w:tcPr>
          <w:p w:rsidR="00DB4EA6" w:rsidRDefault="00DB4EA6">
            <w:pPr>
              <w:pStyle w:val="TableContents"/>
              <w:rPr>
                <w:rFonts w:hint="eastAsia"/>
                <w:color w:val="000000"/>
              </w:rPr>
            </w:pPr>
          </w:p>
        </w:tc>
      </w:tr>
      <w:tr w:rsidR="00DB4EA6" w:rsidTr="00297BB7">
        <w:tc>
          <w:tcPr>
            <w:tcW w:w="2664"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Acondicionamiento de Aire: Temperatura interior entre 22-24°C, diferencia &gt;10°C, máx. 28°C, cortina de aire (3.2.2.16) Pag 86</w:t>
            </w:r>
          </w:p>
        </w:tc>
        <w:tc>
          <w:tcPr>
            <w:tcW w:w="2211"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 xml:space="preserve">"Air </w:t>
            </w:r>
            <w:proofErr w:type="spellStart"/>
            <w:r>
              <w:rPr>
                <w:color w:val="000000"/>
              </w:rPr>
              <w:t>conditioning</w:t>
            </w:r>
            <w:proofErr w:type="spellEnd"/>
            <w:r>
              <w:rPr>
                <w:color w:val="000000"/>
              </w:rPr>
              <w:t>: 30000kcal/h (Single-</w:t>
            </w:r>
            <w:proofErr w:type="spellStart"/>
            <w:r>
              <w:rPr>
                <w:color w:val="000000"/>
              </w:rPr>
              <w:t>cooled</w:t>
            </w:r>
            <w:proofErr w:type="spellEnd"/>
            <w:r>
              <w:rPr>
                <w:color w:val="000000"/>
              </w:rPr>
              <w:t>)". No se mencionan detalles específicos de rangos de temperatura o cortina de aire.</w:t>
            </w:r>
          </w:p>
          <w:p w:rsidR="00DB4EA6" w:rsidRDefault="00000000">
            <w:pPr>
              <w:pStyle w:val="TableContents"/>
              <w:rPr>
                <w:rFonts w:hint="eastAsia"/>
                <w:color w:val="000000"/>
              </w:rPr>
            </w:pPr>
            <w:r>
              <w:rPr>
                <w:color w:val="000000"/>
              </w:rPr>
              <w:t xml:space="preserve"> Pag 4</w:t>
            </w:r>
          </w:p>
        </w:tc>
        <w:tc>
          <w:tcPr>
            <w:tcW w:w="1626"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No Conforme / Necesita Aclaración</w:t>
            </w:r>
          </w:p>
        </w:tc>
        <w:tc>
          <w:tcPr>
            <w:tcW w:w="3437" w:type="dxa"/>
            <w:tcBorders>
              <w:top w:val="single" w:sz="2" w:space="0" w:color="DDDDDD"/>
              <w:left w:val="single" w:sz="2" w:space="0" w:color="DDDDDD"/>
              <w:bottom w:val="single" w:sz="2" w:space="0" w:color="DDDDDD"/>
              <w:right w:val="single" w:sz="2" w:space="0" w:color="DDDDDD"/>
            </w:tcBorders>
            <w:vAlign w:val="center"/>
          </w:tcPr>
          <w:p w:rsidR="00DB4EA6" w:rsidRDefault="00000000">
            <w:pPr>
              <w:pStyle w:val="TableContents"/>
              <w:rPr>
                <w:rFonts w:hint="eastAsia"/>
                <w:color w:val="000000"/>
              </w:rPr>
            </w:pPr>
            <w:r>
              <w:rPr>
                <w:color w:val="000000"/>
              </w:rPr>
              <w:t>Aunque se menciona el AC, la oferta no detalla el cumplimiento de los rangos de temperatura específicos bajo condiciones de Cartagena ni la presencia de la cortina de aire, que son requisitos importantes para el confort del pasajero.</w:t>
            </w:r>
          </w:p>
        </w:tc>
      </w:tr>
    </w:tbl>
    <w:p w:rsidR="00DB4EA6" w:rsidRDefault="00DB4EA6">
      <w:pPr>
        <w:pStyle w:val="Textoindependiente"/>
        <w:rPr>
          <w:rStyle w:val="Textoennegrita"/>
          <w:rFonts w:hint="eastAsia"/>
          <w:color w:val="000000"/>
        </w:rPr>
      </w:pPr>
    </w:p>
    <w:p w:rsidR="00DB4EA6" w:rsidRDefault="00DB4EA6">
      <w:pPr>
        <w:pStyle w:val="Textoindependiente"/>
        <w:rPr>
          <w:rStyle w:val="Textoennegrita"/>
          <w:rFonts w:hint="eastAsia"/>
          <w:color w:val="000000"/>
        </w:rPr>
      </w:pPr>
    </w:p>
    <w:sectPr w:rsidR="00DB4EA6">
      <w:headerReference w:type="default" r:id="rId6"/>
      <w:pgSz w:w="12240" w:h="15840"/>
      <w:pgMar w:top="1134" w:right="1134" w:bottom="1134" w:left="1134" w:header="0"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85925" w:rsidRDefault="00785925" w:rsidP="00297BB7">
      <w:pPr>
        <w:rPr>
          <w:rFonts w:hint="eastAsia"/>
        </w:rPr>
      </w:pPr>
      <w:r>
        <w:separator/>
      </w:r>
    </w:p>
  </w:endnote>
  <w:endnote w:type="continuationSeparator" w:id="0">
    <w:p w:rsidR="00785925" w:rsidRDefault="00785925" w:rsidP="00297BB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panose1 w:val="020B0604020202020204"/>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20B0604020202020204"/>
    <w:charset w:val="00"/>
    <w:family w:val="roman"/>
    <w:pitch w:val="variable"/>
  </w:font>
  <w:font w:name="Liberation Mono">
    <w:altName w:val="Courier New"/>
    <w:panose1 w:val="020B0604020202020204"/>
    <w:charset w:val="00"/>
    <w:family w:val="roman"/>
    <w:pitch w:val="variable"/>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A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85925" w:rsidRDefault="00785925" w:rsidP="00297BB7">
      <w:pPr>
        <w:rPr>
          <w:rFonts w:hint="eastAsia"/>
        </w:rPr>
      </w:pPr>
      <w:r>
        <w:separator/>
      </w:r>
    </w:p>
  </w:footnote>
  <w:footnote w:type="continuationSeparator" w:id="0">
    <w:p w:rsidR="00785925" w:rsidRDefault="00785925" w:rsidP="00297BB7">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97BB7" w:rsidRDefault="00297BB7">
    <w:pPr>
      <w:pStyle w:val="Encabezado"/>
      <w:rPr>
        <w:lang w:val="es-ES_tradnl"/>
      </w:rPr>
    </w:pPr>
  </w:p>
  <w:p w:rsidR="00297BB7" w:rsidRDefault="00297BB7">
    <w:pPr>
      <w:pStyle w:val="Encabezado"/>
      <w:rPr>
        <w:lang w:val="es-ES_tradnl"/>
      </w:rPr>
    </w:pPr>
  </w:p>
  <w:p w:rsidR="00297BB7" w:rsidRDefault="00297BB7">
    <w:pPr>
      <w:pStyle w:val="Encabezado"/>
      <w:rPr>
        <w:lang w:val="es-ES_tradnl"/>
      </w:rPr>
    </w:pPr>
  </w:p>
  <w:p w:rsidR="00297BB7" w:rsidRDefault="00297BB7" w:rsidP="00297BB7">
    <w:pPr>
      <w:pStyle w:val="Textoindependiente"/>
      <w:rPr>
        <w:color w:val="000000"/>
      </w:rPr>
    </w:pPr>
    <w:r>
      <w:rPr>
        <w:color w:val="000000"/>
      </w:rPr>
      <w:t>Análisis comparativo entre las especificaciones de la licitación para autobuses Padrones del Anexo 3 y la oferta del bus FT PADRON GNV DD6129B50NE-250902</w:t>
    </w:r>
  </w:p>
  <w:p w:rsidR="00297BB7" w:rsidRPr="00297BB7" w:rsidRDefault="00297BB7">
    <w:pPr>
      <w:pStyle w:val="Encabezado"/>
      <w:rPr>
        <w:lang w:val="es-ES_tradn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709"/>
  <w:autoHyphenation/>
  <w:hyphenationZone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rsids>
    <w:rsidRoot w:val="00DB4EA6"/>
    <w:rsid w:val="00297BB7"/>
    <w:rsid w:val="00785925"/>
    <w:rsid w:val="00DB4EA6"/>
    <w:rsid w:val="00E432D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470F9199"/>
  <w15:docId w15:val="{A1F1BF0E-B599-5D45-B3A3-D649AF79A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kern w:val="2"/>
        <w:sz w:val="24"/>
        <w:szCs w:val="24"/>
        <w:lang w:val="es-CO"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Heading"/>
    <w:next w:val="Textoindependiente"/>
    <w:uiPriority w:val="9"/>
    <w:unhideWhenUsed/>
    <w:qFormat/>
    <w:pPr>
      <w:spacing w:before="200"/>
      <w:outlineLvl w:val="1"/>
    </w:pPr>
    <w:rPr>
      <w:rFonts w:ascii="Liberation Serif" w:eastAsia="NSimSun" w:hAnsi="Liberation Serif"/>
      <w:b/>
      <w:bCs/>
      <w:sz w:val="36"/>
      <w:szCs w:val="36"/>
    </w:rPr>
  </w:style>
  <w:style w:type="paragraph" w:styleId="Ttulo3">
    <w:name w:val="heading 3"/>
    <w:basedOn w:val="Heading"/>
    <w:next w:val="Textoindependiente"/>
    <w:uiPriority w:val="9"/>
    <w:unhideWhenUsed/>
    <w:qFormat/>
    <w:pPr>
      <w:spacing w:before="140"/>
      <w:outlineLvl w:val="2"/>
    </w:pPr>
    <w:rPr>
      <w:rFonts w:ascii="Liberation Serif" w:eastAsia="NSimSun" w:hAnsi="Liberation Serif"/>
      <w:b/>
      <w:bCs/>
    </w:rPr>
  </w:style>
  <w:style w:type="paragraph" w:styleId="Ttulo4">
    <w:name w:val="heading 4"/>
    <w:basedOn w:val="Heading"/>
    <w:next w:val="Textoindependiente"/>
    <w:uiPriority w:val="9"/>
    <w:semiHidden/>
    <w:unhideWhenUsed/>
    <w:qFormat/>
    <w:pPr>
      <w:spacing w:before="120"/>
      <w:outlineLvl w:val="3"/>
    </w:pPr>
    <w:rPr>
      <w:rFonts w:ascii="Liberation Serif" w:eastAsia="NSimSun" w:hAnsi="Liberation Serif"/>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Bulletsuser">
    <w:name w:val="Bullets (user)"/>
    <w:qFormat/>
    <w:rPr>
      <w:rFonts w:ascii="OpenSymbol" w:eastAsia="OpenSymbol" w:hAnsi="OpenSymbol" w:cs="OpenSymbol"/>
    </w:rPr>
  </w:style>
  <w:style w:type="character" w:styleId="Textoennegrita">
    <w:name w:val="Strong"/>
    <w:qFormat/>
    <w:rPr>
      <w:b/>
      <w:bCs/>
    </w:rPr>
  </w:style>
  <w:style w:type="character" w:styleId="nfasis">
    <w:name w:val="Emphasis"/>
    <w:qFormat/>
    <w:rPr>
      <w:i/>
      <w:iCs/>
    </w:rPr>
  </w:style>
  <w:style w:type="character" w:customStyle="1" w:styleId="SourceText">
    <w:name w:val="Source Text"/>
    <w:qFormat/>
    <w:rPr>
      <w:rFonts w:ascii="Liberation Mono" w:eastAsia="NSimSun" w:hAnsi="Liberation Mono" w:cs="Liberation Mono"/>
    </w:rPr>
  </w:style>
  <w:style w:type="character" w:customStyle="1" w:styleId="NumberingSymbols">
    <w:name w:val="Numbering Symbols"/>
    <w:qFormat/>
  </w:style>
  <w:style w:type="paragraph" w:customStyle="1" w:styleId="Heading">
    <w:name w:val="Heading"/>
    <w:basedOn w:val="Normal"/>
    <w:next w:val="Textoindependiente"/>
    <w:qFormat/>
    <w:pPr>
      <w:keepNext/>
      <w:spacing w:before="240" w:after="120"/>
    </w:pPr>
    <w:rPr>
      <w:rFonts w:ascii="Liberation Sans" w:eastAsia="Microsoft YaHei" w:hAnsi="Liberation Sans"/>
      <w:sz w:val="28"/>
      <w:szCs w:val="28"/>
    </w:rPr>
  </w:style>
  <w:style w:type="paragraph" w:styleId="Textoindependiente">
    <w:name w:val="Body Text"/>
    <w:basedOn w:val="Normal"/>
    <w:pPr>
      <w:spacing w:after="140" w:line="276" w:lineRule="auto"/>
    </w:pPr>
  </w:style>
  <w:style w:type="paragraph" w:styleId="Lista">
    <w:name w:val="List"/>
    <w:basedOn w:val="Textoindependiente"/>
  </w:style>
  <w:style w:type="paragraph" w:styleId="Descripci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BlockQuotationuser">
    <w:name w:val="Block Quotation (user)"/>
    <w:basedOn w:val="Normal"/>
    <w:qFormat/>
    <w:pPr>
      <w:spacing w:after="283"/>
      <w:ind w:left="567" w:right="567"/>
    </w:pPr>
  </w:style>
  <w:style w:type="paragraph" w:customStyle="1" w:styleId="HorizontalLine">
    <w:name w:val="Horizontal Line"/>
    <w:basedOn w:val="Normal"/>
    <w:next w:val="Textoindependiente"/>
    <w:qFormat/>
    <w:pPr>
      <w:suppressLineNumbers/>
      <w:pBdr>
        <w:bottom w:val="double" w:sz="2" w:space="0" w:color="808080"/>
      </w:pBdr>
      <w:spacing w:after="283"/>
    </w:pPr>
    <w:rPr>
      <w:sz w:val="12"/>
      <w:szCs w:val="12"/>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paragraph" w:styleId="Encabezado">
    <w:name w:val="header"/>
    <w:basedOn w:val="Normal"/>
    <w:link w:val="EncabezadoCar"/>
    <w:uiPriority w:val="99"/>
    <w:unhideWhenUsed/>
    <w:rsid w:val="00297BB7"/>
    <w:pPr>
      <w:tabs>
        <w:tab w:val="center" w:pos="4419"/>
        <w:tab w:val="right" w:pos="8838"/>
      </w:tabs>
    </w:pPr>
    <w:rPr>
      <w:rFonts w:cs="Mangal"/>
      <w:szCs w:val="21"/>
    </w:rPr>
  </w:style>
  <w:style w:type="character" w:customStyle="1" w:styleId="EncabezadoCar">
    <w:name w:val="Encabezado Car"/>
    <w:basedOn w:val="Fuentedeprrafopredeter"/>
    <w:link w:val="Encabezado"/>
    <w:uiPriority w:val="99"/>
    <w:rsid w:val="00297BB7"/>
    <w:rPr>
      <w:rFonts w:cs="Mangal"/>
      <w:szCs w:val="21"/>
    </w:rPr>
  </w:style>
  <w:style w:type="paragraph" w:styleId="Piedepgina">
    <w:name w:val="footer"/>
    <w:basedOn w:val="Normal"/>
    <w:link w:val="PiedepginaCar"/>
    <w:uiPriority w:val="99"/>
    <w:unhideWhenUsed/>
    <w:rsid w:val="00297BB7"/>
    <w:pPr>
      <w:tabs>
        <w:tab w:val="center" w:pos="4419"/>
        <w:tab w:val="right" w:pos="8838"/>
      </w:tabs>
    </w:pPr>
    <w:rPr>
      <w:rFonts w:cs="Mangal"/>
      <w:szCs w:val="21"/>
    </w:rPr>
  </w:style>
  <w:style w:type="character" w:customStyle="1" w:styleId="PiedepginaCar">
    <w:name w:val="Pie de página Car"/>
    <w:basedOn w:val="Fuentedeprrafopredeter"/>
    <w:link w:val="Piedepgina"/>
    <w:uiPriority w:val="99"/>
    <w:rsid w:val="00297BB7"/>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3</Pages>
  <Words>571</Words>
  <Characters>3144</Characters>
  <Application>Microsoft Office Word</Application>
  <DocSecurity>0</DocSecurity>
  <Lines>26</Lines>
  <Paragraphs>7</Paragraphs>
  <ScaleCrop>false</ScaleCrop>
  <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Dionisio Arango Botero</cp:lastModifiedBy>
  <cp:revision>2</cp:revision>
  <dcterms:created xsi:type="dcterms:W3CDTF">2025-09-30T07:08:00Z</dcterms:created>
  <dcterms:modified xsi:type="dcterms:W3CDTF">2025-09-30T07:13:00Z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2025-09-26T23:40:18Z</dcterms:created>
  <dc:creator/>
  <dc:description/>
  <dc:language>en-US</dc:language>
  <cp:lastModifiedBy/>
  <dcterms:modified xsi:type="dcterms:W3CDTF">2025-09-29T18:43:30Z</dcterms:modified>
  <cp:revision>5</cp:revision>
  <dc:subject/>
  <dc:title/>
</cp:coreProperties>
</file>